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A9D2" w14:textId="77777777" w:rsidR="00D132CB" w:rsidRPr="000A5CE5" w:rsidRDefault="00D132CB" w:rsidP="00D132CB">
      <w:pPr>
        <w:pStyle w:val="Naslov"/>
        <w:pBdr>
          <w:bottom w:val="single" w:sz="8" w:space="31" w:color="4F81BD" w:themeColor="accent1"/>
        </w:pBdr>
        <w:rPr>
          <w:rFonts w:ascii="Amasis MT Pro" w:hAnsi="Amasis MT Pro"/>
          <w:color w:val="auto"/>
          <w:lang w:val="hr-HR"/>
        </w:rPr>
      </w:pPr>
    </w:p>
    <w:p w14:paraId="5C67AC71" w14:textId="526E1BAF" w:rsidR="00D132CB" w:rsidRPr="000A5CE5" w:rsidRDefault="00061610" w:rsidP="00D132CB">
      <w:pPr>
        <w:pStyle w:val="Naslov"/>
        <w:pBdr>
          <w:bottom w:val="single" w:sz="8" w:space="31" w:color="4F81BD" w:themeColor="accent1"/>
        </w:pBdr>
        <w:jc w:val="center"/>
        <w:rPr>
          <w:rFonts w:ascii="Amasis MT Pro" w:hAnsi="Amasis MT Pro"/>
          <w:color w:val="auto"/>
          <w:sz w:val="40"/>
          <w:szCs w:val="40"/>
          <w:lang w:val="hr-HR"/>
        </w:rPr>
      </w:pPr>
      <w:r>
        <w:rPr>
          <w:rFonts w:ascii="Amasis MT Pro" w:hAnsi="Amasis MT Pro"/>
          <w:color w:val="auto"/>
          <w:sz w:val="40"/>
          <w:szCs w:val="40"/>
          <w:lang w:val="hr-HR"/>
        </w:rPr>
        <w:t>Godišnji opisni izvještaj</w:t>
      </w:r>
      <w:r w:rsidR="00000000" w:rsidRPr="000A5CE5">
        <w:rPr>
          <w:rFonts w:ascii="Amasis MT Pro" w:hAnsi="Amasis MT Pro"/>
          <w:color w:val="auto"/>
          <w:sz w:val="40"/>
          <w:szCs w:val="40"/>
          <w:lang w:val="hr-HR"/>
        </w:rPr>
        <w:t xml:space="preserve"> </w:t>
      </w:r>
    </w:p>
    <w:p w14:paraId="4C29AF77" w14:textId="27DA35AD" w:rsidR="00D132CB" w:rsidRPr="000A5CE5" w:rsidRDefault="00000000" w:rsidP="00D132CB">
      <w:pPr>
        <w:pStyle w:val="Naslov"/>
        <w:pBdr>
          <w:bottom w:val="single" w:sz="8" w:space="31" w:color="4F81BD" w:themeColor="accent1"/>
        </w:pBdr>
        <w:jc w:val="center"/>
        <w:rPr>
          <w:rFonts w:ascii="Amasis MT Pro" w:hAnsi="Amasis MT Pro"/>
          <w:color w:val="auto"/>
          <w:sz w:val="40"/>
          <w:szCs w:val="40"/>
          <w:lang w:val="hr-HR"/>
        </w:rPr>
      </w:pPr>
      <w:r w:rsidRPr="000A5CE5">
        <w:rPr>
          <w:rFonts w:ascii="Amasis MT Pro" w:hAnsi="Amasis MT Pro"/>
          <w:color w:val="auto"/>
          <w:sz w:val="40"/>
          <w:szCs w:val="40"/>
          <w:lang w:val="hr-HR"/>
        </w:rPr>
        <w:t xml:space="preserve">Udruge Volonteri Filipa </w:t>
      </w:r>
      <w:proofErr w:type="spellStart"/>
      <w:r w:rsidRPr="000A5CE5">
        <w:rPr>
          <w:rFonts w:ascii="Amasis MT Pro" w:hAnsi="Amasis MT Pro"/>
          <w:color w:val="auto"/>
          <w:sz w:val="40"/>
          <w:szCs w:val="40"/>
          <w:lang w:val="hr-HR"/>
        </w:rPr>
        <w:t>Nerija</w:t>
      </w:r>
      <w:proofErr w:type="spellEnd"/>
    </w:p>
    <w:p w14:paraId="27804356" w14:textId="40BD7A21" w:rsidR="00D132CB" w:rsidRPr="000A5CE5" w:rsidRDefault="00000000" w:rsidP="00D132CB">
      <w:pPr>
        <w:pStyle w:val="Naslov"/>
        <w:pBdr>
          <w:bottom w:val="single" w:sz="8" w:space="31" w:color="4F81BD" w:themeColor="accent1"/>
        </w:pBdr>
        <w:jc w:val="center"/>
        <w:rPr>
          <w:rFonts w:ascii="Amasis MT Pro" w:hAnsi="Amasis MT Pro"/>
          <w:color w:val="auto"/>
          <w:sz w:val="40"/>
          <w:szCs w:val="40"/>
          <w:lang w:val="hr-HR"/>
        </w:rPr>
      </w:pPr>
      <w:r w:rsidRPr="000A5CE5">
        <w:rPr>
          <w:rFonts w:ascii="Amasis MT Pro" w:hAnsi="Amasis MT Pro"/>
          <w:color w:val="auto"/>
          <w:sz w:val="40"/>
          <w:szCs w:val="40"/>
          <w:lang w:val="hr-HR"/>
        </w:rPr>
        <w:t xml:space="preserve">za 2025. </w:t>
      </w:r>
      <w:r w:rsidR="00D132CB" w:rsidRPr="000A5CE5">
        <w:rPr>
          <w:rFonts w:ascii="Amasis MT Pro" w:hAnsi="Amasis MT Pro"/>
          <w:color w:val="auto"/>
          <w:sz w:val="40"/>
          <w:szCs w:val="40"/>
          <w:lang w:val="hr-HR"/>
        </w:rPr>
        <w:t>G</w:t>
      </w:r>
      <w:r w:rsidRPr="000A5CE5">
        <w:rPr>
          <w:rFonts w:ascii="Amasis MT Pro" w:hAnsi="Amasis MT Pro"/>
          <w:color w:val="auto"/>
          <w:sz w:val="40"/>
          <w:szCs w:val="40"/>
          <w:lang w:val="hr-HR"/>
        </w:rPr>
        <w:t>odinu</w:t>
      </w:r>
    </w:p>
    <w:p w14:paraId="4F640E17" w14:textId="77777777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</w:p>
    <w:p w14:paraId="02801A94" w14:textId="6528DF57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 xml:space="preserve">Udruga Volonteri Filipa </w:t>
      </w:r>
      <w:proofErr w:type="spellStart"/>
      <w:r w:rsidRPr="00061610">
        <w:rPr>
          <w:rFonts w:ascii="Amasis MT Pro" w:hAnsi="Amasis MT Pro"/>
          <w:lang w:val="hr-HR"/>
        </w:rPr>
        <w:t>Nerija</w:t>
      </w:r>
      <w:proofErr w:type="spellEnd"/>
      <w:r w:rsidRPr="00061610">
        <w:rPr>
          <w:rFonts w:ascii="Amasis MT Pro" w:hAnsi="Amasis MT Pro"/>
          <w:lang w:val="hr-HR"/>
        </w:rPr>
        <w:t xml:space="preserve"> tijekom 2025. godine provodila je aktivnosti usmjerene jačanju civilnoga društva, razvoju volonterstva, podršci osobama s invaliditetom, bolesnima i starijima te osnaživanju mladih za aktivno sudjelovanje u životu lokalne zajednice. Aktivnosti Udruge bile su usklađene sa Strateškim i Operativnim planom za 2025. godinu, a provedba se temeljila na pet strateških područja djelovanja: financijska stabilnost i održivost, razvoj organizacijskih kapaciteta, inkluzivne aktivnosti za korisnike, povećanje društvenog utjecaja te jačanje suradnji i partnerstava.</w:t>
      </w:r>
    </w:p>
    <w:p w14:paraId="15BA2E82" w14:textId="6C0CF37B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1. Financijska stabilnost i održivost</w:t>
      </w:r>
    </w:p>
    <w:p w14:paraId="141D8894" w14:textId="563BEC3B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 xml:space="preserve">Tijekom 2025. godine Udruga je aktivno radila na diversifikaciji izvora financiranja i jačanju financijske održivosti. Pripremljena je i podnesena prijava na natječaj Nacionalne zaklade za razvoj civilnog društva, kao i više projektnih prijava na nacionalne i lokalne natječaje. Poseban naglasak stavljen je na razvoj partnerskih odnosa s lokalnim poduzećima i donatorima, pri čemu je ostvarena suradnja s više lokalnih gospodarskih subjekata koji su podržali rad Udruge kroz donacije i sponzorstva. </w:t>
      </w:r>
    </w:p>
    <w:p w14:paraId="37A3CFE5" w14:textId="4F019F5B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2. Razvoj organizacijskih kapaciteta i volonterske baze</w:t>
      </w:r>
    </w:p>
    <w:p w14:paraId="6CFBB94C" w14:textId="77777777" w:rsid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 xml:space="preserve">Udruga je tijekom godine radila na profesionalizaciji i organizacijskom razvoju rada. </w:t>
      </w:r>
      <w:r>
        <w:rPr>
          <w:rFonts w:ascii="Amasis MT Pro" w:hAnsi="Amasis MT Pro"/>
          <w:lang w:val="hr-HR"/>
        </w:rPr>
        <w:t>Krajem godine</w:t>
      </w:r>
      <w:r w:rsidRPr="00061610">
        <w:rPr>
          <w:rFonts w:ascii="Amasis MT Pro" w:hAnsi="Amasis MT Pro"/>
          <w:lang w:val="hr-HR"/>
        </w:rPr>
        <w:t xml:space="preserve"> su</w:t>
      </w:r>
      <w:r>
        <w:rPr>
          <w:rFonts w:ascii="Amasis MT Pro" w:hAnsi="Amasis MT Pro"/>
          <w:lang w:val="hr-HR"/>
        </w:rPr>
        <w:t xml:space="preserve"> uvedene</w:t>
      </w:r>
      <w:r w:rsidRPr="00061610">
        <w:rPr>
          <w:rFonts w:ascii="Amasis MT Pro" w:hAnsi="Amasis MT Pro"/>
          <w:lang w:val="hr-HR"/>
        </w:rPr>
        <w:t xml:space="preserve"> volonterske knjižice i potvrde za redovite volontere, čime je unaprijeđen sustav praćenja i vrednovanja volonterskog angažmana. Organizirane su </w:t>
      </w:r>
      <w:r>
        <w:rPr>
          <w:rFonts w:ascii="Amasis MT Pro" w:hAnsi="Amasis MT Pro"/>
          <w:lang w:val="hr-HR"/>
        </w:rPr>
        <w:t xml:space="preserve">dvije </w:t>
      </w:r>
      <w:r w:rsidRPr="00061610">
        <w:rPr>
          <w:rFonts w:ascii="Amasis MT Pro" w:hAnsi="Amasis MT Pro"/>
          <w:lang w:val="hr-HR"/>
        </w:rPr>
        <w:t xml:space="preserve">edukacije za volontere iz područja komunikacije i organizacije aktivnosti. Poseban naglasak stavljen je na razvoj mentorskog sustava kroz koji su iskusniji volonteri pružali podršku novim članovima </w:t>
      </w:r>
    </w:p>
    <w:p w14:paraId="025D9074" w14:textId="77777777" w:rsid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</w:p>
    <w:p w14:paraId="0B035617" w14:textId="5A7B6624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Udruge. U svrhu učinkovitije koordinacije aktivnosti uvedeni su digitalni alati za internu komunikaciju i organizaciju rada.</w:t>
      </w:r>
    </w:p>
    <w:p w14:paraId="1ECC6FB6" w14:textId="4026B1F9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3. Inkluzivne aktivnosti za osobe s invaliditetom, bolesne i starije osobe</w:t>
      </w:r>
    </w:p>
    <w:p w14:paraId="59B29FBD" w14:textId="420E542E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 xml:space="preserve">Jedna od središnjih aktivnosti Udruge tijekom 2025. godine bilo je organiziranje bolesničkog hodočašća u </w:t>
      </w:r>
      <w:proofErr w:type="spellStart"/>
      <w:r w:rsidRPr="00061610">
        <w:rPr>
          <w:rFonts w:ascii="Amasis MT Pro" w:hAnsi="Amasis MT Pro"/>
          <w:lang w:val="hr-HR"/>
        </w:rPr>
        <w:t>Lurd</w:t>
      </w:r>
      <w:proofErr w:type="spellEnd"/>
      <w:r w:rsidRPr="00061610">
        <w:rPr>
          <w:rFonts w:ascii="Amasis MT Pro" w:hAnsi="Amasis MT Pro"/>
          <w:lang w:val="hr-HR"/>
        </w:rPr>
        <w:t xml:space="preserve">, koje je održano od </w:t>
      </w:r>
      <w:r>
        <w:rPr>
          <w:rFonts w:ascii="Amasis MT Pro" w:hAnsi="Amasis MT Pro"/>
          <w:lang w:val="hr-HR"/>
        </w:rPr>
        <w:t>10</w:t>
      </w:r>
      <w:r w:rsidRPr="00061610">
        <w:rPr>
          <w:rFonts w:ascii="Amasis MT Pro" w:hAnsi="Amasis MT Pro"/>
          <w:lang w:val="hr-HR"/>
        </w:rPr>
        <w:t xml:space="preserve">. do </w:t>
      </w:r>
      <w:r>
        <w:rPr>
          <w:rFonts w:ascii="Amasis MT Pro" w:hAnsi="Amasis MT Pro"/>
          <w:lang w:val="hr-HR"/>
        </w:rPr>
        <w:t>13</w:t>
      </w:r>
      <w:r w:rsidRPr="00061610">
        <w:rPr>
          <w:rFonts w:ascii="Amasis MT Pro" w:hAnsi="Amasis MT Pro"/>
          <w:lang w:val="hr-HR"/>
        </w:rPr>
        <w:t xml:space="preserve">. </w:t>
      </w:r>
      <w:r>
        <w:rPr>
          <w:rFonts w:ascii="Amasis MT Pro" w:hAnsi="Amasis MT Pro"/>
          <w:lang w:val="hr-HR"/>
        </w:rPr>
        <w:t>listopada</w:t>
      </w:r>
      <w:r w:rsidRPr="00061610">
        <w:rPr>
          <w:rFonts w:ascii="Amasis MT Pro" w:hAnsi="Amasis MT Pro"/>
          <w:lang w:val="hr-HR"/>
        </w:rPr>
        <w:t>. Hodočašće je okupilo velik broj osoba s invaliditetom, bolesnih osoba, članova njihovih obitelji i volontera, a sudionicima je pružilo duhovnu, emocionalnu i socijalnu podršku. Osim hodočašća, Udruga je organizirala više radionica, druženja i rekreativnih aktivnosti prilagođenih osobama s invaliditetom i njihovim obiteljima, uključujući izlete i aktivnosti na otvorenom. Tijekom godine provedena je i anketa među korisnicima s ciljem prepoznavanja njihovih potreba i unaprjeđenja budućih programa i aktivnosti.</w:t>
      </w:r>
    </w:p>
    <w:p w14:paraId="02503DE9" w14:textId="6DA6C440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4. Prepoznatljivost i društveni utjecaj</w:t>
      </w:r>
    </w:p>
    <w:p w14:paraId="1D4DE846" w14:textId="62834450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Udruga je tijekom cijele godine aktivno radila na povećanju svoje vidljivosti i društvenog utjecaja. Redovito su vođene društvene mreže Udruge, a izrađen je i godišnji plan komunikacije i medijskih objava. Kroz lokalne medije i digitalne platforme objavljivane su priče korisnika i volontera kako bi se javnosti približio značaj rada Udruge i pozitivni učinci volontiranja u zajednici.</w:t>
      </w:r>
      <w:r>
        <w:rPr>
          <w:rFonts w:ascii="Amasis MT Pro" w:hAnsi="Amasis MT Pro"/>
          <w:lang w:val="hr-HR"/>
        </w:rPr>
        <w:t xml:space="preserve"> Predsjednica udruge je osvojila godišnju nagradu za promicanje socijalnog nauka Crkve koju dodjeljuje Provincija franjevaca konventualaca sv. Jeronima i Županija u partnerstvu s udrugom </w:t>
      </w:r>
      <w:proofErr w:type="spellStart"/>
      <w:r>
        <w:rPr>
          <w:rFonts w:ascii="Amasis MT Pro" w:hAnsi="Amasis MT Pro"/>
          <w:lang w:val="hr-HR"/>
        </w:rPr>
        <w:t>Docat</w:t>
      </w:r>
      <w:proofErr w:type="spellEnd"/>
      <w:r>
        <w:rPr>
          <w:rFonts w:ascii="Amasis MT Pro" w:hAnsi="Amasis MT Pro"/>
          <w:lang w:val="hr-HR"/>
        </w:rPr>
        <w:t xml:space="preserve"> Centar Split.</w:t>
      </w:r>
    </w:p>
    <w:p w14:paraId="07147592" w14:textId="3F5E1318" w:rsidR="00061610" w:rsidRPr="00061610" w:rsidRDefault="00061610" w:rsidP="00061610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5. Suradnje i partnerstva</w:t>
      </w:r>
    </w:p>
    <w:p w14:paraId="1B598A46" w14:textId="0C8B3E73" w:rsidR="00061610" w:rsidRDefault="00061610" w:rsidP="00D132CB">
      <w:pPr>
        <w:spacing w:line="360" w:lineRule="auto"/>
        <w:jc w:val="both"/>
        <w:rPr>
          <w:rFonts w:ascii="Amasis MT Pro" w:hAnsi="Amasis MT Pro"/>
          <w:lang w:val="hr-HR"/>
        </w:rPr>
      </w:pPr>
      <w:r w:rsidRPr="00061610">
        <w:rPr>
          <w:rFonts w:ascii="Amasis MT Pro" w:hAnsi="Amasis MT Pro"/>
          <w:lang w:val="hr-HR"/>
        </w:rPr>
        <w:t>Tijekom 2025. godine Udruga je nastavila razvijati suradnju s organizacijama civilnog društva, institucijama i lokalnom zajednicom. Aktivno je sudjelovala u mrežama i susretima organizacija civilnog društva, uspostavila nova partnerstva s udrugama i institucijama te sudjelovala na nacionalnim konferencijama i edukacijama. Poseban naglasak stavljen je na razvoj zajedničkih projektnih prijava i razmjenu iskustava sa srodnim organizacijama. Partnerstvo s Općinom Dugopolje dodatno je osnaženo kroz provedbu projekta VOLI i aktivnosti usmjerenih mladima i razvoju lokalne zajednice.</w:t>
      </w:r>
    </w:p>
    <w:sectPr w:rsidR="0006161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E457" w14:textId="77777777" w:rsidR="007D3CD6" w:rsidRDefault="007D3CD6" w:rsidP="00D132CB">
      <w:pPr>
        <w:spacing w:after="0" w:line="240" w:lineRule="auto"/>
      </w:pPr>
      <w:r>
        <w:separator/>
      </w:r>
    </w:p>
  </w:endnote>
  <w:endnote w:type="continuationSeparator" w:id="0">
    <w:p w14:paraId="5706358C" w14:textId="77777777" w:rsidR="007D3CD6" w:rsidRDefault="007D3CD6" w:rsidP="00D1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BABA" w14:textId="77777777" w:rsidR="007D3CD6" w:rsidRDefault="007D3CD6" w:rsidP="00D132CB">
      <w:pPr>
        <w:spacing w:after="0" w:line="240" w:lineRule="auto"/>
      </w:pPr>
      <w:r>
        <w:separator/>
      </w:r>
    </w:p>
  </w:footnote>
  <w:footnote w:type="continuationSeparator" w:id="0">
    <w:p w14:paraId="7D09F21E" w14:textId="77777777" w:rsidR="007D3CD6" w:rsidRDefault="007D3CD6" w:rsidP="00D1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2686" w14:textId="4479CF79" w:rsidR="00D132CB" w:rsidRDefault="00D132CB">
    <w:pPr>
      <w:pStyle w:val="Zaglavlje"/>
    </w:pPr>
    <w:r>
      <w:rPr>
        <w:noProof/>
      </w:rPr>
      <w:drawing>
        <wp:inline distT="0" distB="0" distL="0" distR="0" wp14:anchorId="67CCB256" wp14:editId="32E280DC">
          <wp:extent cx="731520" cy="731520"/>
          <wp:effectExtent l="0" t="0" r="0" b="0"/>
          <wp:docPr id="406710464" name="Slika 3" descr="Slika na kojoj se prikazuje ukrasni isječci, grafika, crtić,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72220" name="Slika 3" descr="Slika na kojoj se prikazuje ukrasni isječci, grafika, crtić, dizajn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00" cy="7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VOLONTERI FILIPA NERIJA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695904">
    <w:abstractNumId w:val="8"/>
  </w:num>
  <w:num w:numId="2" w16cid:durableId="1055083163">
    <w:abstractNumId w:val="6"/>
  </w:num>
  <w:num w:numId="3" w16cid:durableId="1133250602">
    <w:abstractNumId w:val="5"/>
  </w:num>
  <w:num w:numId="4" w16cid:durableId="1208949124">
    <w:abstractNumId w:val="4"/>
  </w:num>
  <w:num w:numId="5" w16cid:durableId="1424496328">
    <w:abstractNumId w:val="7"/>
  </w:num>
  <w:num w:numId="6" w16cid:durableId="147213649">
    <w:abstractNumId w:val="3"/>
  </w:num>
  <w:num w:numId="7" w16cid:durableId="1125081447">
    <w:abstractNumId w:val="2"/>
  </w:num>
  <w:num w:numId="8" w16cid:durableId="1508134604">
    <w:abstractNumId w:val="1"/>
  </w:num>
  <w:num w:numId="9" w16cid:durableId="66643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610"/>
    <w:rsid w:val="000A5CE5"/>
    <w:rsid w:val="0015074B"/>
    <w:rsid w:val="0029639D"/>
    <w:rsid w:val="00326F90"/>
    <w:rsid w:val="00556A5B"/>
    <w:rsid w:val="005C64D0"/>
    <w:rsid w:val="006F213A"/>
    <w:rsid w:val="007D3CD6"/>
    <w:rsid w:val="00AA1D8D"/>
    <w:rsid w:val="00B2175C"/>
    <w:rsid w:val="00B47730"/>
    <w:rsid w:val="00CB0664"/>
    <w:rsid w:val="00D13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CAFF7"/>
  <w14:defaultImageDpi w14:val="300"/>
  <w15:docId w15:val="{01F38A26-CA38-4C1E-825F-7ECE2DD0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3280</Characters>
  <Application>Microsoft Office Word</Application>
  <DocSecurity>0</DocSecurity>
  <Lines>252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Petrušić</cp:lastModifiedBy>
  <cp:revision>2</cp:revision>
  <dcterms:created xsi:type="dcterms:W3CDTF">2026-05-18T13:06:00Z</dcterms:created>
  <dcterms:modified xsi:type="dcterms:W3CDTF">2026-05-18T13:06:00Z</dcterms:modified>
  <cp:category/>
</cp:coreProperties>
</file>